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AB" w:rsidRDefault="00A040AB" w:rsidP="00A040AB">
      <w:pPr>
        <w:spacing w:after="200" w:line="276" w:lineRule="auto"/>
        <w:jc w:val="center"/>
        <w:rPr>
          <w:rFonts w:cs="Arial"/>
          <w:b/>
          <w:sz w:val="18"/>
          <w:szCs w:val="18"/>
        </w:rPr>
      </w:pPr>
      <w:r>
        <w:rPr>
          <w:rFonts w:cs="Arial"/>
          <w:b/>
          <w:sz w:val="18"/>
          <w:szCs w:val="18"/>
        </w:rPr>
        <w:t xml:space="preserve">REVISED </w:t>
      </w:r>
      <w:r>
        <w:rPr>
          <w:rFonts w:cs="Arial"/>
          <w:b/>
          <w:sz w:val="18"/>
          <w:szCs w:val="18"/>
        </w:rPr>
        <w:t>FORM D</w:t>
      </w:r>
    </w:p>
    <w:p w:rsidR="00A040AB" w:rsidRDefault="00A040AB" w:rsidP="00A040AB">
      <w:pPr>
        <w:spacing w:after="200" w:line="276" w:lineRule="auto"/>
        <w:jc w:val="center"/>
        <w:rPr>
          <w:rFonts w:cs="Arial"/>
          <w:b/>
          <w:sz w:val="18"/>
          <w:szCs w:val="18"/>
          <w:lang w:val="en"/>
        </w:rPr>
      </w:pPr>
      <w:r>
        <w:rPr>
          <w:rFonts w:cs="Arial"/>
          <w:b/>
          <w:sz w:val="18"/>
          <w:szCs w:val="18"/>
          <w:lang w:val="en"/>
        </w:rPr>
        <w:t>NON-SCORED/NON-BINDING OPTIONAL ENHANCEMENTS</w:t>
      </w:r>
    </w:p>
    <w:p w:rsidR="00A040AB" w:rsidRDefault="00A040AB" w:rsidP="00A040AB">
      <w:pPr>
        <w:pStyle w:val="Level1"/>
        <w:numPr>
          <w:ilvl w:val="0"/>
          <w:numId w:val="0"/>
        </w:numPr>
        <w:rPr>
          <w:rFonts w:cs="Arial"/>
          <w:b w:val="0"/>
          <w:sz w:val="18"/>
          <w:szCs w:val="18"/>
          <w:lang w:val="en"/>
        </w:rPr>
      </w:pPr>
    </w:p>
    <w:p w:rsidR="00A040AB" w:rsidRDefault="00A040AB" w:rsidP="00A040AB">
      <w:pPr>
        <w:pStyle w:val="Level1"/>
        <w:numPr>
          <w:ilvl w:val="0"/>
          <w:numId w:val="0"/>
        </w:numPr>
        <w:rPr>
          <w:rFonts w:cs="Arial"/>
          <w:b w:val="0"/>
          <w:sz w:val="18"/>
          <w:szCs w:val="18"/>
          <w:lang w:val="en"/>
        </w:rPr>
      </w:pPr>
      <w:bookmarkStart w:id="0" w:name="_Toc453749790"/>
      <w:bookmarkStart w:id="1" w:name="_Toc452534856"/>
      <w:bookmarkStart w:id="2" w:name="_Toc452466830"/>
      <w:bookmarkStart w:id="3" w:name="_Toc452464010"/>
      <w:bookmarkStart w:id="4" w:name="_Toc432685501"/>
      <w:r>
        <w:rPr>
          <w:rFonts w:cs="Arial"/>
          <w:b w:val="0"/>
          <w:sz w:val="18"/>
          <w:szCs w:val="18"/>
          <w:lang w:val="en"/>
        </w:rPr>
        <w:t>Contractor is asked to provide information on other enhancements that can be made available to the NDCS upon mutual agreement, and to give an approximate cost of those enhancements.  Additional pages may be used for this information only request.</w:t>
      </w:r>
      <w:bookmarkEnd w:id="0"/>
      <w:bookmarkEnd w:id="1"/>
      <w:bookmarkEnd w:id="2"/>
      <w:bookmarkEnd w:id="3"/>
      <w:bookmarkEnd w:id="4"/>
    </w:p>
    <w:p w:rsidR="00A040AB" w:rsidRDefault="00A040AB" w:rsidP="00A040AB">
      <w:pPr>
        <w:pStyle w:val="Level1"/>
        <w:numPr>
          <w:ilvl w:val="0"/>
          <w:numId w:val="0"/>
        </w:numPr>
        <w:jc w:val="center"/>
        <w:rPr>
          <w:rFonts w:cs="Arial"/>
          <w:b w:val="0"/>
          <w:sz w:val="18"/>
          <w:szCs w:val="18"/>
          <w:lang w:val="en"/>
        </w:rPr>
      </w:pPr>
    </w:p>
    <w:p w:rsidR="00A040AB" w:rsidRDefault="00A040AB" w:rsidP="00A040AB">
      <w:pPr>
        <w:pStyle w:val="Level1"/>
        <w:numPr>
          <w:ilvl w:val="0"/>
          <w:numId w:val="0"/>
        </w:numPr>
        <w:rPr>
          <w:rFonts w:cs="Arial"/>
          <w:sz w:val="18"/>
          <w:szCs w:val="18"/>
          <w:u w:val="single"/>
          <w:lang w:val="en"/>
        </w:rPr>
      </w:pPr>
      <w:bookmarkStart w:id="5" w:name="_Toc453749791"/>
      <w:bookmarkStart w:id="6" w:name="_Toc452534857"/>
      <w:bookmarkStart w:id="7" w:name="_Toc452466831"/>
      <w:bookmarkStart w:id="8" w:name="_Toc452464011"/>
      <w:r>
        <w:rPr>
          <w:rFonts w:cs="Arial"/>
          <w:sz w:val="18"/>
          <w:szCs w:val="18"/>
          <w:u w:val="single"/>
          <w:lang w:val="en"/>
        </w:rPr>
        <w:t>Non-Scored/Non-Binding Enhancements</w:t>
      </w:r>
      <w:bookmarkEnd w:id="5"/>
      <w:bookmarkEnd w:id="6"/>
      <w:bookmarkEnd w:id="7"/>
      <w:bookmarkEnd w:id="8"/>
    </w:p>
    <w:p w:rsidR="00A040AB" w:rsidRDefault="00A040AB" w:rsidP="00A040AB">
      <w:pPr>
        <w:pStyle w:val="Level1"/>
        <w:numPr>
          <w:ilvl w:val="0"/>
          <w:numId w:val="0"/>
        </w:numPr>
        <w:rPr>
          <w:rFonts w:cs="Arial"/>
          <w:sz w:val="18"/>
          <w:szCs w:val="18"/>
          <w:u w:val="single"/>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597"/>
      </w:tblGrid>
      <w:tr w:rsidR="00A040AB">
        <w:tc>
          <w:tcPr>
            <w:tcW w:w="6979"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9" w:name="_Toc432685503"/>
            <w:bookmarkStart w:id="10" w:name="_Toc452464012"/>
            <w:bookmarkStart w:id="11" w:name="_Toc452466832"/>
            <w:bookmarkStart w:id="12" w:name="_Toc452534858"/>
            <w:bookmarkStart w:id="13" w:name="_Toc453749792"/>
            <w:r>
              <w:rPr>
                <w:rFonts w:eastAsia="Calibri" w:cs="Arial"/>
                <w:b w:val="0"/>
                <w:sz w:val="18"/>
                <w:szCs w:val="18"/>
                <w:lang w:val="en"/>
              </w:rPr>
              <w:t>Enhancement</w:t>
            </w:r>
            <w:bookmarkEnd w:id="9"/>
            <w:bookmarkEnd w:id="10"/>
            <w:bookmarkEnd w:id="11"/>
            <w:bookmarkEnd w:id="12"/>
            <w:bookmarkEnd w:id="13"/>
          </w:p>
        </w:tc>
        <w:tc>
          <w:tcPr>
            <w:tcW w:w="2597"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14" w:name="_Toc432685504"/>
            <w:r>
              <w:rPr>
                <w:rFonts w:eastAsia="Calibri" w:cs="Arial"/>
                <w:b w:val="0"/>
                <w:sz w:val="18"/>
                <w:szCs w:val="18"/>
                <w:lang w:val="en"/>
              </w:rPr>
              <w:t xml:space="preserve"> </w:t>
            </w:r>
            <w:bookmarkStart w:id="15" w:name="_Toc452464013"/>
            <w:bookmarkStart w:id="16" w:name="_Toc452466833"/>
            <w:bookmarkStart w:id="17" w:name="_Toc452534859"/>
            <w:bookmarkStart w:id="18" w:name="_Toc453749793"/>
            <w:r>
              <w:rPr>
                <w:rFonts w:eastAsia="Calibri" w:cs="Arial"/>
                <w:b w:val="0"/>
                <w:sz w:val="18"/>
                <w:szCs w:val="18"/>
                <w:lang w:val="en"/>
              </w:rPr>
              <w:t>Cost</w:t>
            </w:r>
            <w:bookmarkEnd w:id="14"/>
            <w:bookmarkEnd w:id="15"/>
            <w:bookmarkEnd w:id="16"/>
            <w:bookmarkEnd w:id="17"/>
            <w:bookmarkEnd w:id="18"/>
          </w:p>
        </w:tc>
      </w:tr>
      <w:tr w:rsidR="00A040AB">
        <w:trPr>
          <w:trHeight w:val="332"/>
        </w:trPr>
        <w:tc>
          <w:tcPr>
            <w:tcW w:w="6979"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19" w:name="_Toc452464014"/>
            <w:bookmarkStart w:id="20" w:name="_Toc452466834"/>
            <w:bookmarkStart w:id="21" w:name="_Toc452534860"/>
            <w:bookmarkStart w:id="22" w:name="_Toc453749794"/>
            <w:r>
              <w:rPr>
                <w:rFonts w:eastAsia="Calibri" w:cs="Arial"/>
                <w:b w:val="0"/>
                <w:sz w:val="18"/>
                <w:szCs w:val="18"/>
                <w:lang w:val="en"/>
              </w:rPr>
              <w:t xml:space="preserve">24/7 </w:t>
            </w:r>
            <w:proofErr w:type="spellStart"/>
            <w:r>
              <w:rPr>
                <w:rFonts w:eastAsia="Calibri" w:cs="Arial"/>
                <w:b w:val="0"/>
                <w:sz w:val="18"/>
                <w:szCs w:val="18"/>
                <w:lang w:val="en"/>
              </w:rPr>
              <w:t>PharmD</w:t>
            </w:r>
            <w:proofErr w:type="spellEnd"/>
            <w:r>
              <w:rPr>
                <w:rFonts w:eastAsia="Calibri" w:cs="Arial"/>
                <w:b w:val="0"/>
                <w:sz w:val="18"/>
                <w:szCs w:val="18"/>
                <w:lang w:val="en"/>
              </w:rPr>
              <w:t xml:space="preserve"> Oversight (monthly)</w:t>
            </w:r>
            <w:bookmarkEnd w:id="19"/>
            <w:bookmarkEnd w:id="20"/>
            <w:bookmarkEnd w:id="21"/>
            <w:bookmarkEnd w:id="22"/>
          </w:p>
        </w:tc>
        <w:tc>
          <w:tcPr>
            <w:tcW w:w="2597"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23" w:name="_Toc452464015"/>
            <w:bookmarkStart w:id="24" w:name="_Toc452466835"/>
            <w:bookmarkStart w:id="25" w:name="_Toc452534861"/>
            <w:bookmarkStart w:id="26" w:name="_Toc453749795"/>
            <w:r>
              <w:rPr>
                <w:rFonts w:eastAsia="Calibri" w:cs="Arial"/>
                <w:b w:val="0"/>
                <w:sz w:val="18"/>
                <w:szCs w:val="18"/>
                <w:lang w:val="en"/>
              </w:rPr>
              <w:t>$</w:t>
            </w:r>
            <w:bookmarkEnd w:id="23"/>
            <w:bookmarkEnd w:id="24"/>
            <w:bookmarkEnd w:id="25"/>
            <w:bookmarkEnd w:id="26"/>
          </w:p>
        </w:tc>
      </w:tr>
      <w:tr w:rsidR="00A040AB">
        <w:trPr>
          <w:trHeight w:val="350"/>
        </w:trPr>
        <w:tc>
          <w:tcPr>
            <w:tcW w:w="6979"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27" w:name="_Toc452464016"/>
            <w:bookmarkStart w:id="28" w:name="_Toc452466836"/>
            <w:bookmarkStart w:id="29" w:name="_Toc452534862"/>
            <w:bookmarkStart w:id="30" w:name="_Toc453749796"/>
            <w:r>
              <w:rPr>
                <w:rFonts w:eastAsia="Calibri" w:cs="Arial"/>
                <w:b w:val="0"/>
                <w:sz w:val="18"/>
                <w:szCs w:val="18"/>
                <w:lang w:val="en"/>
              </w:rPr>
              <w:t xml:space="preserve">24/7 </w:t>
            </w:r>
            <w:proofErr w:type="spellStart"/>
            <w:r>
              <w:rPr>
                <w:rFonts w:eastAsia="Calibri" w:cs="Arial"/>
                <w:b w:val="0"/>
                <w:sz w:val="18"/>
                <w:szCs w:val="18"/>
                <w:lang w:val="en"/>
              </w:rPr>
              <w:t>PharmD</w:t>
            </w:r>
            <w:proofErr w:type="spellEnd"/>
            <w:r>
              <w:rPr>
                <w:rFonts w:eastAsia="Calibri" w:cs="Arial"/>
                <w:b w:val="0"/>
                <w:sz w:val="18"/>
                <w:szCs w:val="18"/>
                <w:lang w:val="en"/>
              </w:rPr>
              <w:t xml:space="preserve"> Oversight (hourly)</w:t>
            </w:r>
            <w:bookmarkEnd w:id="27"/>
            <w:bookmarkEnd w:id="28"/>
            <w:bookmarkEnd w:id="29"/>
            <w:bookmarkEnd w:id="30"/>
          </w:p>
        </w:tc>
        <w:tc>
          <w:tcPr>
            <w:tcW w:w="2597"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31" w:name="_Toc452464017"/>
            <w:bookmarkStart w:id="32" w:name="_Toc452466837"/>
            <w:bookmarkStart w:id="33" w:name="_Toc452534863"/>
            <w:bookmarkStart w:id="34" w:name="_Toc453749797"/>
            <w:r>
              <w:rPr>
                <w:rFonts w:eastAsia="Calibri" w:cs="Arial"/>
                <w:b w:val="0"/>
                <w:sz w:val="18"/>
                <w:szCs w:val="18"/>
                <w:lang w:val="en"/>
              </w:rPr>
              <w:t>$</w:t>
            </w:r>
            <w:bookmarkEnd w:id="31"/>
            <w:bookmarkEnd w:id="32"/>
            <w:bookmarkEnd w:id="33"/>
            <w:bookmarkEnd w:id="34"/>
          </w:p>
        </w:tc>
      </w:tr>
      <w:tr w:rsidR="00A040AB">
        <w:trPr>
          <w:trHeight w:val="350"/>
        </w:trPr>
        <w:tc>
          <w:tcPr>
            <w:tcW w:w="6979"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35" w:name="_Toc452464018"/>
            <w:bookmarkStart w:id="36" w:name="_Toc452466838"/>
            <w:bookmarkStart w:id="37" w:name="_Toc452534864"/>
            <w:bookmarkStart w:id="38" w:name="_Toc453749798"/>
            <w:r>
              <w:rPr>
                <w:rFonts w:eastAsia="Calibri" w:cs="Arial"/>
                <w:b w:val="0"/>
                <w:sz w:val="18"/>
                <w:szCs w:val="18"/>
                <w:lang w:val="en"/>
              </w:rPr>
              <w:t xml:space="preserve">24/7 </w:t>
            </w:r>
            <w:proofErr w:type="spellStart"/>
            <w:r>
              <w:rPr>
                <w:rFonts w:eastAsia="Calibri" w:cs="Arial"/>
                <w:b w:val="0"/>
                <w:sz w:val="18"/>
                <w:szCs w:val="18"/>
                <w:lang w:val="en"/>
              </w:rPr>
              <w:t>PharmD</w:t>
            </w:r>
            <w:proofErr w:type="spellEnd"/>
            <w:r>
              <w:rPr>
                <w:rFonts w:eastAsia="Calibri" w:cs="Arial"/>
                <w:b w:val="0"/>
                <w:sz w:val="18"/>
                <w:szCs w:val="18"/>
                <w:lang w:val="en"/>
              </w:rPr>
              <w:t xml:space="preserve"> Oversight (Holidays &amp; after hours)</w:t>
            </w:r>
            <w:bookmarkEnd w:id="35"/>
            <w:bookmarkEnd w:id="36"/>
            <w:bookmarkEnd w:id="37"/>
            <w:bookmarkEnd w:id="38"/>
          </w:p>
        </w:tc>
        <w:tc>
          <w:tcPr>
            <w:tcW w:w="2597"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39" w:name="_Toc452464019"/>
            <w:bookmarkStart w:id="40" w:name="_Toc452466839"/>
            <w:bookmarkStart w:id="41" w:name="_Toc452534865"/>
            <w:bookmarkStart w:id="42" w:name="_Toc453749799"/>
            <w:r>
              <w:rPr>
                <w:rFonts w:eastAsia="Calibri" w:cs="Arial"/>
                <w:b w:val="0"/>
                <w:sz w:val="18"/>
                <w:szCs w:val="18"/>
                <w:lang w:val="en"/>
              </w:rPr>
              <w:t>$</w:t>
            </w:r>
            <w:bookmarkEnd w:id="39"/>
            <w:bookmarkEnd w:id="40"/>
            <w:bookmarkEnd w:id="41"/>
            <w:bookmarkEnd w:id="42"/>
          </w:p>
        </w:tc>
      </w:tr>
      <w:tr w:rsidR="00A040AB">
        <w:trPr>
          <w:trHeight w:val="350"/>
        </w:trPr>
        <w:tc>
          <w:tcPr>
            <w:tcW w:w="6979"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p>
        </w:tc>
        <w:tc>
          <w:tcPr>
            <w:tcW w:w="2597"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p>
        </w:tc>
      </w:tr>
      <w:tr w:rsidR="00A040AB">
        <w:trPr>
          <w:trHeight w:val="350"/>
        </w:trPr>
        <w:tc>
          <w:tcPr>
            <w:tcW w:w="6979"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43" w:name="_Toc452464022"/>
            <w:bookmarkStart w:id="44" w:name="_Toc452466842"/>
            <w:bookmarkStart w:id="45" w:name="_Toc452534868"/>
            <w:bookmarkStart w:id="46" w:name="_Toc453749800"/>
            <w:proofErr w:type="spellStart"/>
            <w:r>
              <w:rPr>
                <w:rFonts w:eastAsia="Calibri" w:cs="Arial"/>
                <w:b w:val="0"/>
                <w:sz w:val="18"/>
                <w:szCs w:val="18"/>
                <w:lang w:val="en"/>
              </w:rPr>
              <w:t>PharmD</w:t>
            </w:r>
            <w:proofErr w:type="spellEnd"/>
            <w:r>
              <w:rPr>
                <w:rFonts w:eastAsia="Calibri" w:cs="Arial"/>
                <w:b w:val="0"/>
                <w:sz w:val="18"/>
                <w:szCs w:val="18"/>
                <w:lang w:val="en"/>
              </w:rPr>
              <w:t xml:space="preserve"> consulting for requested projects identified by NDCS</w:t>
            </w:r>
            <w:bookmarkEnd w:id="43"/>
            <w:bookmarkEnd w:id="44"/>
            <w:bookmarkEnd w:id="45"/>
            <w:bookmarkEnd w:id="46"/>
          </w:p>
        </w:tc>
        <w:tc>
          <w:tcPr>
            <w:tcW w:w="2597" w:type="dxa"/>
            <w:tcBorders>
              <w:top w:val="single" w:sz="4" w:space="0" w:color="auto"/>
              <w:left w:val="single" w:sz="4" w:space="0" w:color="auto"/>
              <w:bottom w:val="single" w:sz="4" w:space="0" w:color="auto"/>
              <w:right w:val="single" w:sz="4" w:space="0" w:color="auto"/>
            </w:tcBorders>
            <w:hideMark/>
          </w:tcPr>
          <w:p w:rsidR="00A040AB" w:rsidRDefault="00A040AB">
            <w:pPr>
              <w:pStyle w:val="Level1"/>
              <w:numPr>
                <w:ilvl w:val="0"/>
                <w:numId w:val="0"/>
              </w:numPr>
              <w:rPr>
                <w:rFonts w:eastAsia="Calibri" w:cs="Arial"/>
                <w:b w:val="0"/>
                <w:sz w:val="18"/>
                <w:szCs w:val="18"/>
                <w:lang w:val="en"/>
              </w:rPr>
            </w:pPr>
            <w:bookmarkStart w:id="47" w:name="_Toc452464023"/>
            <w:bookmarkStart w:id="48" w:name="_Toc452466843"/>
            <w:bookmarkStart w:id="49" w:name="_Toc452534869"/>
            <w:bookmarkStart w:id="50" w:name="_Toc453749801"/>
            <w:r>
              <w:rPr>
                <w:rFonts w:eastAsia="Calibri" w:cs="Arial"/>
                <w:b w:val="0"/>
                <w:sz w:val="18"/>
                <w:szCs w:val="18"/>
                <w:lang w:val="en"/>
              </w:rPr>
              <w:t>$ hourly</w:t>
            </w:r>
            <w:bookmarkEnd w:id="47"/>
            <w:bookmarkEnd w:id="48"/>
            <w:bookmarkEnd w:id="49"/>
            <w:bookmarkEnd w:id="50"/>
          </w:p>
        </w:tc>
      </w:tr>
      <w:tr w:rsidR="00A040AB">
        <w:tc>
          <w:tcPr>
            <w:tcW w:w="6979"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r>
              <w:rPr>
                <w:rFonts w:eastAsia="Calibri" w:cs="Arial"/>
                <w:b w:val="0"/>
                <w:sz w:val="18"/>
                <w:szCs w:val="18"/>
                <w:lang w:val="en"/>
              </w:rPr>
              <w:t>.5 FTE Pharm D (to cover vacation/sick leave)</w:t>
            </w:r>
          </w:p>
        </w:tc>
        <w:tc>
          <w:tcPr>
            <w:tcW w:w="2597"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r>
              <w:rPr>
                <w:rFonts w:eastAsia="Calibri" w:cs="Arial"/>
                <w:b w:val="0"/>
                <w:sz w:val="18"/>
                <w:szCs w:val="18"/>
                <w:lang w:val="en"/>
              </w:rPr>
              <w:t>$hourly</w:t>
            </w:r>
          </w:p>
          <w:p w:rsidR="00A040AB" w:rsidRDefault="00A040AB">
            <w:pPr>
              <w:pStyle w:val="Level1"/>
              <w:numPr>
                <w:ilvl w:val="0"/>
                <w:numId w:val="0"/>
              </w:numPr>
              <w:rPr>
                <w:rFonts w:eastAsia="Calibri" w:cs="Arial"/>
                <w:b w:val="0"/>
                <w:sz w:val="18"/>
                <w:szCs w:val="18"/>
                <w:lang w:val="en"/>
              </w:rPr>
            </w:pPr>
          </w:p>
        </w:tc>
      </w:tr>
      <w:tr w:rsidR="00A040AB">
        <w:tc>
          <w:tcPr>
            <w:tcW w:w="6979"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r>
              <w:rPr>
                <w:rFonts w:eastAsia="Calibri" w:cs="Arial"/>
                <w:b w:val="0"/>
                <w:sz w:val="18"/>
                <w:szCs w:val="18"/>
                <w:lang w:val="en"/>
              </w:rPr>
              <w:t>Pharmacy Technician</w:t>
            </w:r>
          </w:p>
        </w:tc>
        <w:tc>
          <w:tcPr>
            <w:tcW w:w="2597"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r>
              <w:rPr>
                <w:rFonts w:eastAsia="Calibri" w:cs="Arial"/>
                <w:b w:val="0"/>
                <w:sz w:val="18"/>
                <w:szCs w:val="18"/>
                <w:lang w:val="en"/>
              </w:rPr>
              <w:t>$</w:t>
            </w:r>
          </w:p>
          <w:p w:rsidR="00A040AB" w:rsidRDefault="00A040AB">
            <w:pPr>
              <w:pStyle w:val="Level1"/>
              <w:numPr>
                <w:ilvl w:val="0"/>
                <w:numId w:val="0"/>
              </w:numPr>
              <w:rPr>
                <w:rFonts w:eastAsia="Calibri" w:cs="Arial"/>
                <w:b w:val="0"/>
                <w:sz w:val="18"/>
                <w:szCs w:val="18"/>
                <w:lang w:val="en"/>
              </w:rPr>
            </w:pPr>
          </w:p>
        </w:tc>
      </w:tr>
      <w:tr w:rsidR="00A040AB">
        <w:tc>
          <w:tcPr>
            <w:tcW w:w="6979"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r>
              <w:rPr>
                <w:rFonts w:eastAsia="Calibri" w:cs="Arial"/>
                <w:b w:val="0"/>
                <w:sz w:val="18"/>
                <w:szCs w:val="18"/>
                <w:lang w:val="en"/>
              </w:rPr>
              <w:t>Medical Receiving Support Staff</w:t>
            </w:r>
          </w:p>
        </w:tc>
        <w:tc>
          <w:tcPr>
            <w:tcW w:w="2597"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r>
              <w:rPr>
                <w:rFonts w:eastAsia="Calibri" w:cs="Arial"/>
                <w:b w:val="0"/>
                <w:sz w:val="18"/>
                <w:szCs w:val="18"/>
                <w:lang w:val="en"/>
              </w:rPr>
              <w:t>$</w:t>
            </w:r>
          </w:p>
          <w:p w:rsidR="00A040AB" w:rsidRDefault="00A040AB">
            <w:pPr>
              <w:pStyle w:val="Level1"/>
              <w:numPr>
                <w:ilvl w:val="0"/>
                <w:numId w:val="0"/>
              </w:numPr>
              <w:rPr>
                <w:rFonts w:eastAsia="Calibri" w:cs="Arial"/>
                <w:b w:val="0"/>
                <w:sz w:val="18"/>
                <w:szCs w:val="18"/>
                <w:lang w:val="en"/>
              </w:rPr>
            </w:pPr>
          </w:p>
        </w:tc>
      </w:tr>
      <w:tr w:rsidR="00A040AB">
        <w:tc>
          <w:tcPr>
            <w:tcW w:w="6979"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bookmarkStart w:id="51" w:name="_Toc432685511"/>
            <w:bookmarkStart w:id="52" w:name="_Toc452464028"/>
            <w:bookmarkStart w:id="53" w:name="_Toc452466848"/>
            <w:bookmarkStart w:id="54" w:name="_Toc452534874"/>
            <w:bookmarkStart w:id="55" w:name="_Toc453749802"/>
            <w:r>
              <w:rPr>
                <w:rFonts w:eastAsia="Calibri" w:cs="Arial"/>
                <w:b w:val="0"/>
                <w:sz w:val="18"/>
                <w:szCs w:val="18"/>
                <w:lang w:val="en"/>
              </w:rPr>
              <w:t>Integrated courier service provided 24/7 to NDCS facilities including inclement weather and holidays</w:t>
            </w:r>
            <w:bookmarkEnd w:id="51"/>
            <w:bookmarkEnd w:id="52"/>
            <w:bookmarkEnd w:id="53"/>
            <w:bookmarkEnd w:id="54"/>
            <w:bookmarkEnd w:id="55"/>
          </w:p>
        </w:tc>
        <w:tc>
          <w:tcPr>
            <w:tcW w:w="2597"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bookmarkStart w:id="56" w:name="_Toc432685512"/>
            <w:bookmarkStart w:id="57" w:name="_Toc452464029"/>
            <w:bookmarkStart w:id="58" w:name="_Toc452466849"/>
            <w:bookmarkStart w:id="59" w:name="_Toc452534875"/>
            <w:bookmarkStart w:id="60" w:name="_Toc453749803"/>
            <w:r>
              <w:rPr>
                <w:rFonts w:eastAsia="Calibri" w:cs="Arial"/>
                <w:b w:val="0"/>
                <w:sz w:val="18"/>
                <w:szCs w:val="18"/>
                <w:lang w:val="en"/>
              </w:rPr>
              <w:t>$</w:t>
            </w:r>
            <w:bookmarkEnd w:id="56"/>
            <w:bookmarkEnd w:id="57"/>
            <w:bookmarkEnd w:id="58"/>
            <w:bookmarkEnd w:id="59"/>
            <w:bookmarkEnd w:id="60"/>
          </w:p>
          <w:p w:rsidR="00A040AB" w:rsidRDefault="00A040AB">
            <w:pPr>
              <w:pStyle w:val="Level1"/>
              <w:numPr>
                <w:ilvl w:val="0"/>
                <w:numId w:val="0"/>
              </w:numPr>
              <w:rPr>
                <w:rFonts w:eastAsia="Calibri" w:cs="Arial"/>
                <w:b w:val="0"/>
                <w:sz w:val="18"/>
                <w:szCs w:val="18"/>
                <w:lang w:val="en"/>
              </w:rPr>
            </w:pPr>
          </w:p>
        </w:tc>
      </w:tr>
      <w:tr w:rsidR="00A040AB">
        <w:tc>
          <w:tcPr>
            <w:tcW w:w="6979" w:type="dxa"/>
            <w:tcBorders>
              <w:top w:val="single" w:sz="4" w:space="0" w:color="auto"/>
              <w:left w:val="single" w:sz="4" w:space="0" w:color="auto"/>
              <w:bottom w:val="single" w:sz="4" w:space="0" w:color="auto"/>
              <w:right w:val="single" w:sz="4" w:space="0" w:color="auto"/>
            </w:tcBorders>
          </w:tcPr>
          <w:p w:rsidR="00A040AB" w:rsidRDefault="00A040AB" w:rsidP="00A040AB">
            <w:pPr>
              <w:pStyle w:val="ListParagraph"/>
              <w:ind w:left="0"/>
              <w:jc w:val="left"/>
              <w:rPr>
                <w:rFonts w:eastAsia="Calibri" w:cs="Arial"/>
                <w:b/>
                <w:sz w:val="18"/>
                <w:szCs w:val="18"/>
                <w:lang w:val="en"/>
              </w:rPr>
            </w:pPr>
            <w:r>
              <w:rPr>
                <w:rFonts w:eastAsia="Calibri" w:cs="Arial"/>
                <w:sz w:val="18"/>
                <w:szCs w:val="18"/>
                <w:lang w:val="en"/>
              </w:rPr>
              <w:t>Technologies and procedures to automate the inventory reclamation process, thus providing a legal, auditable and cost efficient means for destroying and reclaiming inventory.</w:t>
            </w:r>
          </w:p>
        </w:tc>
        <w:tc>
          <w:tcPr>
            <w:tcW w:w="2597" w:type="dxa"/>
            <w:tcBorders>
              <w:top w:val="single" w:sz="4" w:space="0" w:color="auto"/>
              <w:left w:val="single" w:sz="4" w:space="0" w:color="auto"/>
              <w:bottom w:val="single" w:sz="4" w:space="0" w:color="auto"/>
              <w:right w:val="single" w:sz="4" w:space="0" w:color="auto"/>
            </w:tcBorders>
          </w:tcPr>
          <w:p w:rsidR="00A040AB" w:rsidRDefault="00A040AB">
            <w:pPr>
              <w:pStyle w:val="Level1"/>
              <w:numPr>
                <w:ilvl w:val="0"/>
                <w:numId w:val="0"/>
              </w:numPr>
              <w:rPr>
                <w:rFonts w:eastAsia="Calibri" w:cs="Arial"/>
                <w:b w:val="0"/>
                <w:sz w:val="18"/>
                <w:szCs w:val="18"/>
                <w:lang w:val="en"/>
              </w:rPr>
            </w:pPr>
            <w:bookmarkStart w:id="61" w:name="_Toc432685516"/>
            <w:bookmarkStart w:id="62" w:name="_Toc452464030"/>
            <w:bookmarkStart w:id="63" w:name="_Toc452466850"/>
            <w:bookmarkStart w:id="64" w:name="_Toc452534876"/>
            <w:bookmarkStart w:id="65" w:name="_Toc453749804"/>
            <w:r>
              <w:rPr>
                <w:rFonts w:eastAsia="Calibri" w:cs="Arial"/>
                <w:b w:val="0"/>
                <w:sz w:val="18"/>
                <w:szCs w:val="18"/>
                <w:lang w:val="en"/>
              </w:rPr>
              <w:t>$</w:t>
            </w:r>
            <w:bookmarkEnd w:id="61"/>
            <w:bookmarkEnd w:id="62"/>
            <w:bookmarkEnd w:id="63"/>
            <w:bookmarkEnd w:id="64"/>
            <w:bookmarkEnd w:id="65"/>
          </w:p>
          <w:p w:rsidR="00A040AB" w:rsidRDefault="00A040AB">
            <w:pPr>
              <w:pStyle w:val="Level1"/>
              <w:numPr>
                <w:ilvl w:val="0"/>
                <w:numId w:val="0"/>
              </w:numPr>
              <w:rPr>
                <w:rFonts w:eastAsia="Calibri" w:cs="Arial"/>
                <w:b w:val="0"/>
                <w:sz w:val="18"/>
                <w:szCs w:val="18"/>
                <w:lang w:val="en"/>
              </w:rPr>
            </w:pPr>
            <w:bookmarkStart w:id="66" w:name="_GoBack"/>
            <w:bookmarkEnd w:id="66"/>
          </w:p>
        </w:tc>
      </w:tr>
    </w:tbl>
    <w:p w:rsidR="00111165" w:rsidRDefault="00A040AB">
      <w:r>
        <w:rPr>
          <w:rFonts w:cs="Arial"/>
          <w:sz w:val="18"/>
          <w:szCs w:val="18"/>
          <w:lang w:val="en"/>
        </w:rPr>
        <w:br w:type="page"/>
      </w:r>
    </w:p>
    <w:sectPr w:rsidR="0011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34938"/>
    <w:multiLevelType w:val="hybridMultilevel"/>
    <w:tmpl w:val="6F7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673E46"/>
    <w:multiLevelType w:val="multilevel"/>
    <w:tmpl w:val="B7641AF2"/>
    <w:lvl w:ilvl="0">
      <w:start w:val="1"/>
      <w:numFmt w:val="upperRoman"/>
      <w:pStyle w:val="Level1"/>
      <w:lvlText w:val="%1."/>
      <w:lvlJc w:val="left"/>
      <w:pPr>
        <w:ind w:left="360" w:hanging="360"/>
      </w:pPr>
      <w:rPr>
        <w:rFonts w:ascii="Arial Bold" w:hAnsi="Arial Bold" w:hint="default"/>
        <w:b/>
        <w:i w:val="0"/>
        <w:sz w:val="18"/>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18"/>
        <w:szCs w:val="18"/>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b/>
        <w:bCs w:val="0"/>
        <w:i w:val="0"/>
        <w:iCs w:val="0"/>
        <w:caps w:val="0"/>
        <w:strike w:val="0"/>
        <w:dstrike w:val="0"/>
        <w:vanish w:val="0"/>
        <w:webHidden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AB"/>
    <w:rsid w:val="00111165"/>
    <w:rsid w:val="00A0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1 Body text Normal"/>
    <w:qFormat/>
    <w:rsid w:val="00A040AB"/>
    <w:pPr>
      <w:spacing w:after="0"/>
      <w:jc w:val="both"/>
    </w:pPr>
    <w:rPr>
      <w:rFonts w:ascii="Arial" w:eastAsia="Times New Roman" w:hAnsi="Arial" w:cs="Times New Roman"/>
    </w:rPr>
  </w:style>
  <w:style w:type="paragraph" w:styleId="Heading1">
    <w:name w:val="heading 1"/>
    <w:basedOn w:val="Normal"/>
    <w:next w:val="Normal"/>
    <w:link w:val="Heading1Char"/>
    <w:uiPriority w:val="9"/>
    <w:qFormat/>
    <w:rsid w:val="00A0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40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AB"/>
    <w:pPr>
      <w:ind w:left="720"/>
    </w:pPr>
  </w:style>
  <w:style w:type="paragraph" w:customStyle="1" w:styleId="Level3">
    <w:name w:val="Level 3"/>
    <w:rsid w:val="00A040AB"/>
    <w:pPr>
      <w:numPr>
        <w:ilvl w:val="2"/>
        <w:numId w:val="1"/>
      </w:numPr>
      <w:autoSpaceDE w:val="0"/>
      <w:autoSpaceDN w:val="0"/>
      <w:adjustRightInd w:val="0"/>
      <w:spacing w:after="0"/>
    </w:pPr>
    <w:rPr>
      <w:rFonts w:ascii="Arial" w:eastAsia="Times New Roman" w:hAnsi="Arial" w:cs="Times New Roman"/>
      <w:color w:val="000000"/>
      <w:sz w:val="18"/>
      <w:szCs w:val="24"/>
    </w:rPr>
  </w:style>
  <w:style w:type="paragraph" w:customStyle="1" w:styleId="Level5">
    <w:name w:val="Level 5"/>
    <w:basedOn w:val="Normal"/>
    <w:rsid w:val="00A040AB"/>
    <w:pPr>
      <w:numPr>
        <w:ilvl w:val="4"/>
        <w:numId w:val="1"/>
      </w:numPr>
      <w:autoSpaceDE w:val="0"/>
      <w:autoSpaceDN w:val="0"/>
      <w:adjustRightInd w:val="0"/>
      <w:jc w:val="left"/>
      <w:outlineLvl w:val="4"/>
    </w:pPr>
    <w:rPr>
      <w:rFonts w:cs="Arial"/>
      <w:sz w:val="18"/>
      <w:szCs w:val="18"/>
    </w:rPr>
  </w:style>
  <w:style w:type="paragraph" w:customStyle="1" w:styleId="Level6">
    <w:name w:val="Level 6"/>
    <w:basedOn w:val="Normal"/>
    <w:rsid w:val="00A040AB"/>
    <w:pPr>
      <w:numPr>
        <w:ilvl w:val="5"/>
        <w:numId w:val="1"/>
      </w:numPr>
    </w:pPr>
    <w:rPr>
      <w:sz w:val="18"/>
    </w:rPr>
  </w:style>
  <w:style w:type="paragraph" w:customStyle="1" w:styleId="Level2">
    <w:name w:val="Level 2"/>
    <w:basedOn w:val="Heading2"/>
    <w:rsid w:val="00A040AB"/>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0" w:firstLine="0"/>
      <w:jc w:val="left"/>
    </w:pPr>
    <w:rPr>
      <w:rFonts w:ascii="Arial" w:eastAsia="Times New Roman" w:hAnsi="Arial" w:cs="Arial"/>
      <w:bCs w:val="0"/>
      <w:iCs/>
      <w:color w:val="000000"/>
      <w:sz w:val="18"/>
      <w:szCs w:val="22"/>
    </w:rPr>
  </w:style>
  <w:style w:type="paragraph" w:customStyle="1" w:styleId="Level1">
    <w:name w:val="Level 1"/>
    <w:basedOn w:val="Heading1"/>
    <w:rsid w:val="00A040AB"/>
    <w:pPr>
      <w:keepLines w:val="0"/>
      <w:numPr>
        <w:numId w:val="1"/>
      </w:numPr>
      <w:tabs>
        <w:tab w:val="left" w:pos="-1200"/>
        <w:tab w:val="left" w:pos="-360"/>
        <w:tab w:val="left" w:pos="0"/>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ind w:left="0" w:firstLine="0"/>
      <w:jc w:val="left"/>
    </w:pPr>
    <w:rPr>
      <w:rFonts w:ascii="Arial" w:eastAsia="Times New Roman" w:hAnsi="Arial" w:cs="Times New Roman"/>
      <w:color w:val="auto"/>
      <w:sz w:val="20"/>
      <w:szCs w:val="22"/>
    </w:rPr>
  </w:style>
  <w:style w:type="paragraph" w:customStyle="1" w:styleId="Level7">
    <w:name w:val="Level 7"/>
    <w:basedOn w:val="Normal"/>
    <w:rsid w:val="00A040AB"/>
    <w:pPr>
      <w:numPr>
        <w:ilvl w:val="6"/>
        <w:numId w:val="1"/>
      </w:numPr>
    </w:pPr>
  </w:style>
  <w:style w:type="character" w:customStyle="1" w:styleId="Heading2Char">
    <w:name w:val="Heading 2 Char"/>
    <w:basedOn w:val="DefaultParagraphFont"/>
    <w:link w:val="Heading2"/>
    <w:uiPriority w:val="9"/>
    <w:semiHidden/>
    <w:rsid w:val="00A040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040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1 Body text Normal"/>
    <w:qFormat/>
    <w:rsid w:val="00A040AB"/>
    <w:pPr>
      <w:spacing w:after="0"/>
      <w:jc w:val="both"/>
    </w:pPr>
    <w:rPr>
      <w:rFonts w:ascii="Arial" w:eastAsia="Times New Roman" w:hAnsi="Arial" w:cs="Times New Roman"/>
    </w:rPr>
  </w:style>
  <w:style w:type="paragraph" w:styleId="Heading1">
    <w:name w:val="heading 1"/>
    <w:basedOn w:val="Normal"/>
    <w:next w:val="Normal"/>
    <w:link w:val="Heading1Char"/>
    <w:uiPriority w:val="9"/>
    <w:qFormat/>
    <w:rsid w:val="00A0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40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AB"/>
    <w:pPr>
      <w:ind w:left="720"/>
    </w:pPr>
  </w:style>
  <w:style w:type="paragraph" w:customStyle="1" w:styleId="Level3">
    <w:name w:val="Level 3"/>
    <w:rsid w:val="00A040AB"/>
    <w:pPr>
      <w:numPr>
        <w:ilvl w:val="2"/>
        <w:numId w:val="1"/>
      </w:numPr>
      <w:autoSpaceDE w:val="0"/>
      <w:autoSpaceDN w:val="0"/>
      <w:adjustRightInd w:val="0"/>
      <w:spacing w:after="0"/>
    </w:pPr>
    <w:rPr>
      <w:rFonts w:ascii="Arial" w:eastAsia="Times New Roman" w:hAnsi="Arial" w:cs="Times New Roman"/>
      <w:color w:val="000000"/>
      <w:sz w:val="18"/>
      <w:szCs w:val="24"/>
    </w:rPr>
  </w:style>
  <w:style w:type="paragraph" w:customStyle="1" w:styleId="Level5">
    <w:name w:val="Level 5"/>
    <w:basedOn w:val="Normal"/>
    <w:rsid w:val="00A040AB"/>
    <w:pPr>
      <w:numPr>
        <w:ilvl w:val="4"/>
        <w:numId w:val="1"/>
      </w:numPr>
      <w:autoSpaceDE w:val="0"/>
      <w:autoSpaceDN w:val="0"/>
      <w:adjustRightInd w:val="0"/>
      <w:jc w:val="left"/>
      <w:outlineLvl w:val="4"/>
    </w:pPr>
    <w:rPr>
      <w:rFonts w:cs="Arial"/>
      <w:sz w:val="18"/>
      <w:szCs w:val="18"/>
    </w:rPr>
  </w:style>
  <w:style w:type="paragraph" w:customStyle="1" w:styleId="Level6">
    <w:name w:val="Level 6"/>
    <w:basedOn w:val="Normal"/>
    <w:rsid w:val="00A040AB"/>
    <w:pPr>
      <w:numPr>
        <w:ilvl w:val="5"/>
        <w:numId w:val="1"/>
      </w:numPr>
    </w:pPr>
    <w:rPr>
      <w:sz w:val="18"/>
    </w:rPr>
  </w:style>
  <w:style w:type="paragraph" w:customStyle="1" w:styleId="Level2">
    <w:name w:val="Level 2"/>
    <w:basedOn w:val="Heading2"/>
    <w:rsid w:val="00A040AB"/>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0" w:firstLine="0"/>
      <w:jc w:val="left"/>
    </w:pPr>
    <w:rPr>
      <w:rFonts w:ascii="Arial" w:eastAsia="Times New Roman" w:hAnsi="Arial" w:cs="Arial"/>
      <w:bCs w:val="0"/>
      <w:iCs/>
      <w:color w:val="000000"/>
      <w:sz w:val="18"/>
      <w:szCs w:val="22"/>
    </w:rPr>
  </w:style>
  <w:style w:type="paragraph" w:customStyle="1" w:styleId="Level1">
    <w:name w:val="Level 1"/>
    <w:basedOn w:val="Heading1"/>
    <w:rsid w:val="00A040AB"/>
    <w:pPr>
      <w:keepLines w:val="0"/>
      <w:numPr>
        <w:numId w:val="1"/>
      </w:numPr>
      <w:tabs>
        <w:tab w:val="left" w:pos="-1200"/>
        <w:tab w:val="left" w:pos="-360"/>
        <w:tab w:val="left" w:pos="0"/>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ind w:left="0" w:firstLine="0"/>
      <w:jc w:val="left"/>
    </w:pPr>
    <w:rPr>
      <w:rFonts w:ascii="Arial" w:eastAsia="Times New Roman" w:hAnsi="Arial" w:cs="Times New Roman"/>
      <w:color w:val="auto"/>
      <w:sz w:val="20"/>
      <w:szCs w:val="22"/>
    </w:rPr>
  </w:style>
  <w:style w:type="paragraph" w:customStyle="1" w:styleId="Level7">
    <w:name w:val="Level 7"/>
    <w:basedOn w:val="Normal"/>
    <w:rsid w:val="00A040AB"/>
    <w:pPr>
      <w:numPr>
        <w:ilvl w:val="6"/>
        <w:numId w:val="1"/>
      </w:numPr>
    </w:pPr>
  </w:style>
  <w:style w:type="character" w:customStyle="1" w:styleId="Heading2Char">
    <w:name w:val="Heading 2 Char"/>
    <w:basedOn w:val="DefaultParagraphFont"/>
    <w:link w:val="Heading2"/>
    <w:uiPriority w:val="9"/>
    <w:semiHidden/>
    <w:rsid w:val="00A040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040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Nebraska Department of Correctional Services</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Loomis</dc:creator>
  <cp:lastModifiedBy>Chris Loomis</cp:lastModifiedBy>
  <cp:revision>1</cp:revision>
  <dcterms:created xsi:type="dcterms:W3CDTF">2016-07-01T12:45:00Z</dcterms:created>
  <dcterms:modified xsi:type="dcterms:W3CDTF">2016-07-01T12:48:00Z</dcterms:modified>
</cp:coreProperties>
</file>